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E862E">
      <w:pPr>
        <w:widowControl/>
        <w:adjustRightInd w:val="0"/>
        <w:snapToGrid w:val="0"/>
        <w:spacing w:before="156" w:beforeLines="50" w:line="360" w:lineRule="auto"/>
        <w:ind w:left="640" w:hanging="640" w:hangingChars="200"/>
        <w:jc w:val="center"/>
        <w:rPr>
          <w:rFonts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China Zhengtong Auto Services Holdings Limited</w:t>
      </w:r>
    </w:p>
    <w:p w14:paraId="42C3E373">
      <w:pPr>
        <w:widowControl/>
        <w:adjustRightInd w:val="0"/>
        <w:snapToGrid w:val="0"/>
        <w:spacing w:before="156" w:beforeLines="50" w:line="360" w:lineRule="auto"/>
        <w:ind w:left="480" w:hanging="480" w:hangingChars="200"/>
        <w:jc w:val="center"/>
        <w:rPr>
          <w:rFonts w:ascii="宋体" w:hAnsi="宋体" w:eastAsia="宋体" w:cs="宋体"/>
          <w:kern w:val="0"/>
          <w:sz w:val="24"/>
          <w:lang w:bidi="ar"/>
        </w:rPr>
      </w:pPr>
      <w:r>
        <w:rPr>
          <w:rFonts w:ascii="宋体" w:hAnsi="宋体" w:eastAsia="宋体" w:cs="宋体"/>
          <w:kern w:val="0"/>
          <w:sz w:val="24"/>
          <w:lang w:bidi="ar"/>
        </w:rPr>
        <w:t>(“the Company”)</w:t>
      </w:r>
    </w:p>
    <w:p w14:paraId="1D048603">
      <w:pPr>
        <w:widowControl/>
        <w:adjustRightInd w:val="0"/>
        <w:snapToGrid w:val="0"/>
        <w:spacing w:before="156" w:beforeLines="50" w:line="360" w:lineRule="auto"/>
        <w:ind w:left="480" w:hanging="480" w:hangingChars="200"/>
        <w:jc w:val="center"/>
        <w:rPr>
          <w:rFonts w:ascii="宋体" w:hAnsi="宋体" w:eastAsia="宋体" w:cs="宋体"/>
          <w:color w:val="000000"/>
          <w:kern w:val="0"/>
          <w:sz w:val="24"/>
          <w:lang w:bidi="ar"/>
        </w:rPr>
      </w:pPr>
      <w:r>
        <w:rPr>
          <w:rFonts w:ascii="宋体" w:hAnsi="宋体" w:eastAsia="宋体" w:cs="宋体"/>
          <w:kern w:val="0"/>
          <w:sz w:val="24"/>
          <w:lang w:bidi="ar"/>
        </w:rPr>
        <w:t xml:space="preserve">(a limited company </w:t>
      </w:r>
      <w:r>
        <w:rPr>
          <w:rFonts w:ascii="PMingLiU" w:hAnsi="PMingLiU" w:eastAsia="PMingLiU" w:cs="宋体"/>
          <w:kern w:val="0"/>
          <w:sz w:val="24"/>
          <w:lang w:bidi="ar"/>
        </w:rPr>
        <w:t>incorporat</w:t>
      </w:r>
      <w:r>
        <w:rPr>
          <w:rFonts w:ascii="宋体" w:hAnsi="宋体" w:eastAsia="宋体" w:cs="宋体"/>
          <w:kern w:val="0"/>
          <w:sz w:val="24"/>
          <w:lang w:bidi="ar"/>
        </w:rPr>
        <w:t>ed in the Cayman Islands)</w:t>
      </w:r>
    </w:p>
    <w:p w14:paraId="107CD298">
      <w:pPr>
        <w:widowControl/>
        <w:adjustRightInd w:val="0"/>
        <w:snapToGrid w:val="0"/>
        <w:spacing w:before="156" w:beforeLines="50" w:line="360" w:lineRule="auto"/>
        <w:ind w:left="640" w:hanging="640" w:hangingChars="200"/>
        <w:jc w:val="left"/>
        <w:rPr>
          <w:rFonts w:ascii="宋体" w:hAnsi="宋体" w:eastAsia="宋体" w:cs="宋体"/>
          <w:color w:val="000000"/>
          <w:kern w:val="0"/>
          <w:sz w:val="32"/>
          <w:szCs w:val="32"/>
          <w:lang w:bidi="ar"/>
        </w:rPr>
      </w:pPr>
    </w:p>
    <w:p w14:paraId="5537F537">
      <w:pPr>
        <w:widowControl/>
        <w:adjustRightInd w:val="0"/>
        <w:snapToGrid w:val="0"/>
        <w:spacing w:before="156" w:beforeLines="50" w:line="360" w:lineRule="auto"/>
        <w:ind w:left="560" w:hanging="560" w:hangingChars="200"/>
        <w:jc w:val="left"/>
        <w:rPr>
          <w:rFonts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Shareholder Rights</w:t>
      </w:r>
    </w:p>
    <w:p w14:paraId="5B8AD6F2">
      <w:pPr>
        <w:widowControl/>
        <w:adjustRightInd w:val="0"/>
        <w:snapToGrid w:val="0"/>
        <w:spacing w:before="156" w:beforeLines="50" w:line="360" w:lineRule="auto"/>
        <w:ind w:left="560" w:hanging="560" w:hangingChars="200"/>
        <w:jc w:val="left"/>
        <w:rPr>
          <w:rFonts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Procedures for Shareholders to Nominate Candidates for Directors</w:t>
      </w:r>
    </w:p>
    <w:p w14:paraId="180F5199">
      <w:pPr>
        <w:widowControl/>
        <w:adjustRightInd w:val="0"/>
        <w:snapToGrid w:val="0"/>
        <w:spacing w:before="156" w:beforeLines="50" w:line="360" w:lineRule="auto"/>
        <w:ind w:left="560" w:hanging="560" w:hangingChars="200"/>
        <w:jc w:val="left"/>
        <w:rPr>
          <w:rFonts w:ascii="黑体" w:hAnsi="黑体" w:eastAsia="黑体" w:cs="黑体"/>
          <w:color w:val="000000"/>
          <w:kern w:val="0"/>
          <w:sz w:val="28"/>
          <w:szCs w:val="28"/>
          <w:u w:val="single"/>
          <w:lang w:bidi="ar"/>
        </w:rPr>
      </w:pPr>
      <w:r>
        <w:rPr>
          <w:rFonts w:hint="eastAsia" w:ascii="黑体" w:hAnsi="黑体" w:eastAsia="黑体" w:cs="黑体"/>
          <w:color w:val="000000"/>
          <w:kern w:val="0"/>
          <w:sz w:val="28"/>
          <w:szCs w:val="28"/>
          <w:u w:val="single"/>
          <w:lang w:bidi="ar"/>
        </w:rPr>
        <w:t>Provisions of the Articles of Association</w:t>
      </w:r>
    </w:p>
    <w:p w14:paraId="5513D9DB">
      <w:pPr>
        <w:widowControl/>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kern w:val="0"/>
          <w:sz w:val="28"/>
          <w:szCs w:val="28"/>
          <w:lang w:bidi="ar"/>
        </w:rPr>
        <w:t xml:space="preserve">According to Article 110 of the Company’s Articles of Association, only individuals who meet one of the following criteria (excluding retired directors) </w:t>
      </w:r>
      <w:r>
        <w:rPr>
          <w:rFonts w:asciiTheme="minorEastAsia" w:hAnsiTheme="minorEastAsia" w:cstheme="minorEastAsia"/>
          <w:color w:val="000000"/>
          <w:kern w:val="0"/>
          <w:sz w:val="28"/>
          <w:szCs w:val="28"/>
          <w:lang w:bidi="ar"/>
        </w:rPr>
        <w:t>shall be eligible for election</w:t>
      </w:r>
      <w:r>
        <w:rPr>
          <w:rFonts w:hint="eastAsia" w:asciiTheme="minorEastAsia" w:hAnsiTheme="minorEastAsia" w:cstheme="minorEastAsia"/>
          <w:color w:val="000000"/>
          <w:kern w:val="0"/>
          <w:sz w:val="28"/>
          <w:szCs w:val="28"/>
          <w:lang w:bidi="ar"/>
        </w:rPr>
        <w:t xml:space="preserve"> as directors at any general meeting of shareholders (“the Meeting”):</w:t>
      </w:r>
    </w:p>
    <w:p w14:paraId="2E605C31">
      <w:pPr>
        <w:widowControl/>
        <w:numPr>
          <w:ilvl w:val="0"/>
          <w:numId w:val="1"/>
        </w:numPr>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The individual is recommended by the directors; or</w:t>
      </w:r>
    </w:p>
    <w:p w14:paraId="0C9B4A2A">
      <w:pPr>
        <w:widowControl/>
        <w:numPr>
          <w:ilvl w:val="0"/>
          <w:numId w:val="1"/>
        </w:numPr>
        <w:adjustRightInd w:val="0"/>
        <w:snapToGrid w:val="0"/>
        <w:spacing w:before="156" w:beforeLines="50" w:line="360" w:lineRule="auto"/>
        <w:jc w:val="left"/>
        <w:rPr>
          <w:rFonts w:asciiTheme="minorEastAsia" w:hAnsiTheme="minorEastAsia" w:cstheme="minorEastAsia"/>
          <w:color w:val="000000"/>
          <w:sz w:val="28"/>
          <w:szCs w:val="28"/>
        </w:rPr>
      </w:pPr>
      <w:r>
        <w:rPr>
          <w:rFonts w:asciiTheme="minorEastAsia" w:hAnsiTheme="minorEastAsia" w:cstheme="minorEastAsia"/>
          <w:color w:val="000000"/>
          <w:sz w:val="28"/>
          <w:szCs w:val="28"/>
        </w:rPr>
        <w:t>The notice in writing of the intention to propose that person for election as a director and notice in writing by that person of his willingness to be elected shall have been lodged at the Head Office or at the Registration Office at least seven (7) clear days before the date of the general meeting and the period for lodgement of such notices shall commence no earlier than the day after the despatch of the notice of the general meeting appointed for such election and shall be at least seven (7) clear days in length.</w:t>
      </w:r>
    </w:p>
    <w:p w14:paraId="7F9C1BE5">
      <w:pPr>
        <w:widowControl/>
        <w:adjustRightInd w:val="0"/>
        <w:snapToGrid w:val="0"/>
        <w:spacing w:before="156" w:beforeLines="50" w:line="360" w:lineRule="auto"/>
        <w:ind w:left="560" w:hanging="560" w:hangingChars="200"/>
        <w:jc w:val="left"/>
        <w:rPr>
          <w:rFonts w:ascii="黑体" w:hAnsi="黑体" w:eastAsia="黑体" w:cs="黑体"/>
          <w:color w:val="000000"/>
          <w:kern w:val="0"/>
          <w:sz w:val="28"/>
          <w:szCs w:val="28"/>
          <w:u w:val="single"/>
          <w:lang w:bidi="ar"/>
        </w:rPr>
      </w:pPr>
      <w:r>
        <w:rPr>
          <w:rFonts w:hint="eastAsia" w:ascii="黑体" w:hAnsi="黑体" w:eastAsia="黑体" w:cs="黑体"/>
          <w:color w:val="000000"/>
          <w:kern w:val="0"/>
          <w:sz w:val="28"/>
          <w:szCs w:val="28"/>
          <w:u w:val="single"/>
          <w:lang w:bidi="ar"/>
        </w:rPr>
        <w:t>Provisions of the Rules Governing the Listing of Securities on The Stock Exchange of Hong Kong Limited (“the Listing Rules”)</w:t>
      </w:r>
    </w:p>
    <w:p w14:paraId="4F0D6244">
      <w:pPr>
        <w:widowControl/>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kern w:val="0"/>
          <w:sz w:val="28"/>
          <w:szCs w:val="28"/>
          <w:lang w:bidi="ar"/>
        </w:rPr>
        <w:t>According to Rules 13.70 and 13.74 of the Listing Rules, the Company must comply with the following provisions:</w:t>
      </w:r>
    </w:p>
    <w:p w14:paraId="725DDD0C">
      <w:pPr>
        <w:widowControl/>
        <w:numPr>
          <w:ilvl w:val="0"/>
          <w:numId w:val="2"/>
        </w:numPr>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If the Company receives a notice from a shareholder nominating a person to stand for election as a director at the general meeting after the publication of the notice of the general meeting, the Company must publish an announcement or issue a supplementary circular;</w:t>
      </w:r>
    </w:p>
    <w:p w14:paraId="79F88BF2">
      <w:pPr>
        <w:widowControl/>
        <w:numPr>
          <w:ilvl w:val="0"/>
          <w:numId w:val="2"/>
        </w:numPr>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The announcement or supplementary circular must include the information that the nominated candidate for director is required to disclose under Rule 13.51(2) of the Listing Rules;</w:t>
      </w:r>
    </w:p>
    <w:p w14:paraId="0F7D55CE">
      <w:pPr>
        <w:widowControl/>
        <w:numPr>
          <w:ilvl w:val="0"/>
          <w:numId w:val="2"/>
        </w:numPr>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The announcement or supplementary circular must be published at least 10 business days before the date of the relevant general meeting; and</w:t>
      </w:r>
    </w:p>
    <w:p w14:paraId="44A38CBA">
      <w:pPr>
        <w:widowControl/>
        <w:numPr>
          <w:ilvl w:val="0"/>
          <w:numId w:val="2"/>
        </w:numPr>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The Company must assess whether it is necessary to postpone the meeting for the election of directors to allow shareholders at least 10 business days to consider the information disclosed in the announcement or supplementary circular.</w:t>
      </w:r>
    </w:p>
    <w:p w14:paraId="4C464B81">
      <w:pPr>
        <w:widowControl/>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rPr>
      </w:pPr>
    </w:p>
    <w:p w14:paraId="1711A3D7">
      <w:pPr>
        <w:widowControl/>
        <w:adjustRightInd w:val="0"/>
        <w:snapToGrid w:val="0"/>
        <w:spacing w:before="156" w:beforeLines="50" w:line="360" w:lineRule="auto"/>
        <w:ind w:left="560" w:hanging="560" w:hangingChars="200"/>
        <w:jc w:val="left"/>
        <w:rPr>
          <w:rFonts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Documents to be submitted by shareholders</w:t>
      </w:r>
    </w:p>
    <w:p w14:paraId="3C05DA68">
      <w:pPr>
        <w:widowControl/>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kern w:val="0"/>
          <w:sz w:val="28"/>
          <w:szCs w:val="28"/>
          <w:lang w:bidi="ar"/>
        </w:rPr>
        <w:t>If a shareholder intends to nominate an individual to stand for election as a director at the annual general meeting, they must submit the following documents to the Company Secretary within the relevant deadline, and ensure they are effectively delivered to the Company's registered office:</w:t>
      </w:r>
    </w:p>
    <w:p w14:paraId="08DD250F">
      <w:pPr>
        <w:widowControl/>
        <w:numPr>
          <w:ilvl w:val="0"/>
          <w:numId w:val="3"/>
        </w:numPr>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A notice of intention from the shareholder to propose a resolution at the annual general meeting; and</w:t>
      </w:r>
    </w:p>
    <w:p w14:paraId="65D660B4">
      <w:pPr>
        <w:widowControl/>
        <w:numPr>
          <w:ilvl w:val="0"/>
          <w:numId w:val="3"/>
        </w:numPr>
        <w:adjustRightInd w:val="0"/>
        <w:snapToGrid w:val="0"/>
        <w:spacing w:before="156" w:beforeLines="50" w:line="360" w:lineRule="auto"/>
        <w:ind w:left="560" w:hanging="560" w:hanging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A notice signed by the nominated candidate indicating their willingness </w:t>
      </w:r>
      <w:r>
        <w:rPr>
          <w:rFonts w:asciiTheme="minorEastAsia" w:hAnsiTheme="minorEastAsia" w:cstheme="minorEastAsia"/>
          <w:color w:val="000000"/>
          <w:sz w:val="28"/>
          <w:szCs w:val="28"/>
        </w:rPr>
        <w:t xml:space="preserve">to be elected and to </w:t>
      </w:r>
      <w:r>
        <w:rPr>
          <w:rFonts w:hint="eastAsia" w:asciiTheme="minorEastAsia" w:hAnsiTheme="minorEastAsia" w:cstheme="minorEastAsia"/>
          <w:color w:val="000000"/>
          <w:sz w:val="28"/>
          <w:szCs w:val="28"/>
        </w:rPr>
        <w:t>accept the appointment, along with (a) the candidate information required to be disclosed under Rule 13.51(2) of the Listing Rules, and (b) a consent form from the candidate agreeing to the publication of their personal information.</w:t>
      </w:r>
    </w:p>
    <w:p w14:paraId="05EE9050">
      <w:pPr>
        <w:adjustRightInd w:val="0"/>
        <w:snapToGrid w:val="0"/>
        <w:spacing w:before="156" w:beforeLines="50" w:line="360" w:lineRule="auto"/>
        <w:ind w:left="560" w:hanging="560" w:hangingChars="200"/>
        <w:jc w:val="left"/>
        <w:rPr>
          <w:rFonts w:asciiTheme="minorEastAsia" w:hAnsi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
    <w:altName w:val="汉仪中黑KW"/>
    <w:panose1 w:val="02010609060101010101"/>
    <w:charset w:val="86"/>
    <w:family w:val="modern"/>
    <w:pitch w:val="default"/>
    <w:sig w:usb0="00000000" w:usb1="00000000" w:usb2="00000016" w:usb3="00000000" w:csb0="00040001" w:csb1="00000000"/>
  </w:font>
  <w:font w:name="PMingLiU">
    <w:altName w:val="宋体-繁"/>
    <w:panose1 w:val="02020500000000000000"/>
    <w:charset w:val="88"/>
    <w:family w:val="roman"/>
    <w:pitch w:val="default"/>
    <w:sig w:usb0="00000000" w:usb1="00000000" w:usb2="00000016" w:usb3="00000000" w:csb0="00100001" w:csb1="00000000"/>
  </w:font>
  <w:font w:name="PMingLiU">
    <w:altName w:val="宋体-繁"/>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宋体-繁">
    <w:panose1 w:val="02010600040101010101"/>
    <w:charset w:val="86"/>
    <w:family w:val="auto"/>
    <w:pitch w:val="default"/>
    <w:sig w:usb0="00000287" w:usb1="080F0000" w:usb2="00000000" w:usb3="00000000" w:csb0="0004009F" w:csb1="DFD7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7935"/>
    <w:multiLevelType w:val="multilevel"/>
    <w:tmpl w:val="FFFE793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65CF6568"/>
    <w:multiLevelType w:val="multilevel"/>
    <w:tmpl w:val="65CF656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72FF8AC3"/>
    <w:multiLevelType w:val="multilevel"/>
    <w:tmpl w:val="72FF8AC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DF4FD4"/>
    <w:rsid w:val="004F7C3C"/>
    <w:rsid w:val="00643B31"/>
    <w:rsid w:val="007071CE"/>
    <w:rsid w:val="00776DB6"/>
    <w:rsid w:val="00833016"/>
    <w:rsid w:val="009153DA"/>
    <w:rsid w:val="12F95451"/>
    <w:rsid w:val="1EBD4298"/>
    <w:rsid w:val="33DF4FD4"/>
    <w:rsid w:val="A5BF7D0C"/>
    <w:rsid w:val="FAB60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6">
    <w:name w:val="Strong"/>
    <w:basedOn w:val="5"/>
    <w:qFormat/>
    <w:uiPriority w:val="0"/>
    <w:rPr>
      <w:b/>
    </w:rPr>
  </w:style>
  <w:style w:type="paragraph" w:customStyle="1" w:styleId="7">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475</Words>
  <Characters>3148</Characters>
  <Lines>26</Lines>
  <Paragraphs>7</Paragraphs>
  <TotalTime>3</TotalTime>
  <ScaleCrop>false</ScaleCrop>
  <LinksUpToDate>false</LinksUpToDate>
  <CharactersWithSpaces>3616</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2026-05-12T17:49:00Z</dcterms:created>
  <dc:creator>方璐莹</dc:creator>
  <cp:lastModifiedBy>方璐莹</cp:lastModifiedBy>
  <dcterms:modified xsi:type="dcterms:W3CDTF">2026-05-13T08:53:10Z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7D7564C7DF9192A30452FC696EF17260_41</vt:lpwstr>
  </property>
  <property fmtid="{D5CDD505-2E9C-101B-9397-08002B2CF9AE}" pid="4" name="KSOTemplateDocerSaveRecord">
    <vt:lpwstr>eyJoZGlkIjoiZTU4NTU0ZWI1MWY5ZTkxYjg3M2E0NzQ4MjQzOGQwMTMiLCJ1c2VySWQiOiIxNjM0MTc2MTQ4In0=</vt:lpwstr>
  </property>
</Properties>
</file>